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5C3E4"/>
    <w:p w14:paraId="779D0588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2FEF02A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33B168A8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D5B0FE0">
      <w:pPr>
        <w:spacing w:line="540" w:lineRule="exact"/>
        <w:jc w:val="center"/>
        <w:rPr>
          <w:rFonts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乌鲁木齐市第十九中学资金项目支出绩效评价报告</w:t>
      </w:r>
    </w:p>
    <w:p w14:paraId="71DDCA6A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0112FD23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668E6895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F15F197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8593B37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6F9992F">
      <w:pPr>
        <w:pStyle w:val="2"/>
      </w:pPr>
    </w:p>
    <w:p w14:paraId="402A1E8F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87CF9E4"/>
    <w:p w14:paraId="405C6F73"/>
    <w:p w14:paraId="1EF7E743">
      <w:pPr>
        <w:spacing w:line="700" w:lineRule="exact"/>
        <w:ind w:left="420" w:leftChars="200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eastAsia="仿宋_GB2312"/>
          <w:kern w:val="0"/>
          <w:sz w:val="36"/>
          <w:szCs w:val="36"/>
          <w:lang w:eastAsia="zh-CN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437515</wp:posOffset>
            </wp:positionV>
            <wp:extent cx="1524635" cy="1440180"/>
            <wp:effectExtent l="0" t="0" r="18415" b="7620"/>
            <wp:wrapNone/>
            <wp:docPr id="11" name="图片 11" descr="IMG_20240605_12223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0240605_122238(1)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989493">
                            <a:alpha val="100000"/>
                          </a:srgbClr>
                        </a:clrFrom>
                        <a:clrTo>
                          <a:srgbClr val="989493">
                            <a:alpha val="100000"/>
                            <a:alpha val="0"/>
                          </a:srgbClr>
                        </a:clrTo>
                      </a:clrChange>
                    </a:blip>
                    <a:srcRect l="19073" t="34419" r="20751" b="22949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</w:rPr>
        <w:t>乌财科教[2023]167号关于提前下达2024年城乡义务教育补助经费预算[中央直达资金]的通知（公用经费－初中）、</w:t>
      </w:r>
      <w:r>
        <w:rPr>
          <w:rFonts w:hint="eastAsia" w:ascii="仿宋_GB2312" w:hAnsi="仿宋_GB2312" w:eastAsia="仿宋_GB2312" w:cs="仿宋_GB2312"/>
          <w:color w:val="333333"/>
          <w:sz w:val="36"/>
          <w:szCs w:val="36"/>
          <w:shd w:val="clear" w:color="auto" w:fill="FFFFFF"/>
        </w:rPr>
        <w:t>（公用经费-特教）</w:t>
      </w:r>
    </w:p>
    <w:p w14:paraId="7F5942B6">
      <w:pPr>
        <w:spacing w:line="240" w:lineRule="auto"/>
        <w:ind w:left="420" w:leftChars="200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36"/>
          <w:szCs w:val="36"/>
        </w:rPr>
        <w:t>实施单位：</w:t>
      </w:r>
      <w:r>
        <w:rPr>
          <w:rFonts w:hint="eastAsia" w:eastAsia="仿宋_GB2312"/>
          <w:kern w:val="0"/>
          <w:sz w:val="36"/>
          <w:szCs w:val="36"/>
        </w:rPr>
        <w:t>乌鲁木齐市第十九中学</w:t>
      </w:r>
    </w:p>
    <w:p w14:paraId="7CDBB78F">
      <w:pPr>
        <w:spacing w:line="240" w:lineRule="auto"/>
        <w:ind w:left="420" w:leftChars="200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/>
          <w:kern w:val="0"/>
          <w:sz w:val="36"/>
          <w:szCs w:val="36"/>
          <w:lang w:val="en-US" w:eastAsia="zh-CN"/>
        </w:rPr>
        <w:t>主管部门：水磨沟区教育局</w:t>
      </w:r>
      <w:bookmarkStart w:id="3" w:name="_GoBack"/>
      <w:bookmarkEnd w:id="3"/>
    </w:p>
    <w:p w14:paraId="4C699787">
      <w:pPr>
        <w:spacing w:line="240" w:lineRule="auto"/>
        <w:ind w:left="420" w:leftChars="200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hint="eastAsia" w:eastAsia="仿宋_GB2312"/>
          <w:kern w:val="0"/>
          <w:sz w:val="36"/>
          <w:szCs w:val="36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3714115</wp:posOffset>
            </wp:positionH>
            <wp:positionV relativeFrom="paragraph">
              <wp:posOffset>-158750</wp:posOffset>
            </wp:positionV>
            <wp:extent cx="243840" cy="720090"/>
            <wp:effectExtent l="0" t="0" r="3810" b="3810"/>
            <wp:wrapNone/>
            <wp:docPr id="10" name="图片 10" descr="何明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何明生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C1C0C6">
                            <a:alpha val="100000"/>
                          </a:srgbClr>
                        </a:clrFrom>
                        <a:clrTo>
                          <a:srgbClr val="C1C0C6">
                            <a:alpha val="100000"/>
                            <a:alpha val="0"/>
                          </a:srgbClr>
                        </a:clrTo>
                      </a:clrChange>
                    </a:blip>
                    <a:srcRect l="37512" t="43856" r="53662" b="3662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384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仿宋_GB2312"/>
          <w:kern w:val="0"/>
          <w:sz w:val="36"/>
          <w:szCs w:val="36"/>
        </w:rPr>
        <w:t>项目负责人：</w:t>
      </w:r>
      <w:r>
        <w:rPr>
          <w:rFonts w:hint="eastAsia" w:eastAsia="仿宋_GB2312"/>
          <w:kern w:val="0"/>
          <w:sz w:val="36"/>
          <w:szCs w:val="36"/>
        </w:rPr>
        <w:t>何明生</w:t>
      </w:r>
    </w:p>
    <w:p w14:paraId="01D5B38D">
      <w:pPr>
        <w:spacing w:line="700" w:lineRule="exact"/>
        <w:ind w:left="420" w:leftChars="200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</w:rPr>
        <w:t>15</w:t>
      </w:r>
      <w:r>
        <w:rPr>
          <w:rFonts w:eastAsia="仿宋_GB2312"/>
          <w:kern w:val="0"/>
          <w:sz w:val="36"/>
          <w:szCs w:val="36"/>
        </w:rPr>
        <w:t>日</w:t>
      </w:r>
    </w:p>
    <w:p w14:paraId="6CBBB06A">
      <w:pPr>
        <w:spacing w:line="540" w:lineRule="exact"/>
        <w:rPr>
          <w:rStyle w:val="14"/>
          <w:rFonts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6949A2CB">
      <w:pPr>
        <w:spacing w:line="540" w:lineRule="exact"/>
        <w:rPr>
          <w:rStyle w:val="14"/>
          <w:rFonts w:eastAsia="黑体"/>
          <w:b w:val="0"/>
          <w:spacing w:val="-4"/>
          <w:sz w:val="32"/>
          <w:szCs w:val="32"/>
        </w:rPr>
      </w:pPr>
    </w:p>
    <w:p w14:paraId="514CCD83"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一、基本情况</w:t>
      </w:r>
    </w:p>
    <w:p w14:paraId="6A5A3414"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（一）项目概况</w:t>
      </w:r>
    </w:p>
    <w:p w14:paraId="74787B54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1.项目背景</w:t>
      </w:r>
    </w:p>
    <w:p w14:paraId="0B9CBA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促进教育公平，缩小城乡差距：资源分配不均，长期以来，我国城乡、区域间教育发展不平衡，农村和欠发达地区学校公用经费（用于日常教学、设备维护等）严重不足，导致办学条件落后；“两免一补”政策深化：2006年起国家全面实施义务教育经费保障机制改革，免除学杂费、免费提供教材并补助贫困生生活费，但公用经费仍需财政兜底保障。中央直达资金通过精准支持薄弱地区，确保学校基本运转。公用经费总额按照中央80%，自治区6%，市级14%的比例共同承担。做好项目实施工作，弥补学校的公用经费不足，维持学校常规性教育教学工作，保障学校正常教育教学工作的开展。</w:t>
      </w:r>
    </w:p>
    <w:p w14:paraId="4E2DB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（2）缓解基层财政压力；</w:t>
      </w:r>
    </w:p>
    <w:p w14:paraId="7CB5B4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（3）完善财政管理体制；</w:t>
      </w:r>
    </w:p>
    <w:p w14:paraId="1F03CE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（4）落实国家教育发展战略</w:t>
      </w:r>
    </w:p>
    <w:p w14:paraId="43186DD1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2.项目主要内容及实施情况</w:t>
      </w:r>
    </w:p>
    <w:p w14:paraId="04D07B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主要内容：乌财科教[2023]167号关于提前下达2024年城乡义务教育补助经费预算[中央直达资金]的通知（公用经费-初中)1078480元，乌财科教[2023]167号关于提前下达2024年城乡义务教育补助经费预算[中央直达资金]的通知（公用经费-特教）8800元，合计1087280元。资金来源：上级转移支付财政拨款。本年实际支出：106万元。其中56.07万元用于教师培训，3.73万元用于校舍维修，46.20万元用于购置教学设备及用品。具体支出包括：用于学校教学业务与管理、教学质量提升及第三方评价的政府购买服务、办公、会议、印刷、教师培训、实验实习、文体活动、水电、取暖、交通差旅、 邮电、教育信息化网络费用、仪器设备及图书资料等购置、房屋、建筑物、校园内道路、围墙、大门、运动场地、教室内 教师讲台及仪器设备的日常维修维护，学生健康体检、 校方责任保险等。</w:t>
      </w:r>
    </w:p>
    <w:p w14:paraId="37714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项目实施情况：项目目前已经完成实际设立的目标，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项目目前已经完成实际设立的目标。本年实际支出：106万元。其中56.07万元用于教师培训，3.73万元用于校舍维修，46.20万元用于购置教学设备及用品。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项目在实施过程中严格按照目标设立的各阶段任务进行开展工作，在前期立项过程中严格把质量关，建立安全防护机制，保证项目实施各阶段安全顺利进行。</w:t>
      </w:r>
    </w:p>
    <w:p w14:paraId="360D3A9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3.资金投入和使用情况</w:t>
      </w:r>
    </w:p>
    <w:p w14:paraId="3DB116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1EE212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该项目年初预算数108.73万元，全年预算数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万元，实际总投入106万元，该项目资金已全部落实到位，资金来源为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上级一般转移支付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5CCE9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（2）资金使用情况</w:t>
      </w:r>
    </w:p>
    <w:p w14:paraId="5A4379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该项目年初预算数108.73万元，全年预算数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万元，全年执行数106万元，预算执行率为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97.50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%，主要用于：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1、维修校舍7次，项目已完成。2、培训教师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人，资金已支付完毕；3、购置各类教育教学用品11类，资金已支付完毕。</w:t>
      </w:r>
    </w:p>
    <w:p w14:paraId="4F64D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（二）项目绩效目标</w:t>
      </w:r>
    </w:p>
    <w:p w14:paraId="38730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1.总体目标</w:t>
      </w:r>
    </w:p>
    <w:p w14:paraId="58BDCD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spacing w:val="-4"/>
          <w:sz w:val="32"/>
          <w:szCs w:val="32"/>
          <w:highlight w:val="none"/>
        </w:rPr>
        <w:t>该项目用于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弥补学校的公用经费支出，用于维持学校常规性教育教学工作，保障学校正常教育教学工作的开展。预计受益学生≥1220人，预计受益随班就读学生≥6人，符合政策受益学生覆盖率为100%，预计截止202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年12月资金执行率为100%，项目经费采用直接支付形式，严格按照项目资金管理办法对资金进行计划申请、划拨、使用，及时规范对收支进行账务处理和会计核算。我单位严格按照相关规定执行，确保项目顺利展开。从而实现该项目的社会效益，提高学校教学水平、改善办学条件。</w:t>
      </w:r>
    </w:p>
    <w:p w14:paraId="6E4387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FF0000"/>
          <w:sz w:val="30"/>
          <w:szCs w:val="30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2.阶段性目标</w:t>
      </w:r>
    </w:p>
    <w:p w14:paraId="0140FD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>该项目资金半年度计划用于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1、完成维修校舍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不少于</w:t>
      </w:r>
      <w:r>
        <w:rPr>
          <w:rFonts w:hint="eastAsia" w:ascii="仿宋_GB2312" w:hAnsi="仿宋_GB2312" w:eastAsia="仿宋_GB2312" w:cs="仿宋_GB2312"/>
          <w:sz w:val="32"/>
          <w:szCs w:val="32"/>
        </w:rPr>
        <w:t>4次，校舍日常维修质量达标率100%；2、培训教师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人次，培训结业率100%；3、购置各类教育教学用品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6类，购置用品质量合格率100%。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57.24万元。</w:t>
      </w:r>
    </w:p>
    <w:p w14:paraId="0999F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二、绩效评价工作开展情况</w:t>
      </w:r>
    </w:p>
    <w:p w14:paraId="07CF64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（一）绩效评价目的、对象和范围</w:t>
      </w:r>
    </w:p>
    <w:p w14:paraId="2C005118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1.绩效评价的目的</w:t>
      </w:r>
    </w:p>
    <w:p w14:paraId="713DF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059B1A4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684E9B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（2）项目绩效管理财政支出运行提供及时、有效的信息。</w:t>
      </w:r>
    </w:p>
    <w:p w14:paraId="6716DDFE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2EBE1E7A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2.绩效评价的对象</w:t>
      </w:r>
    </w:p>
    <w:p w14:paraId="57F7D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乌财科教[2023]167号关于提前下达2024[中央直达]的通知（公用经费－初中）、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（公用经费-特教）两个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项目所包含的全部项目内容。</w:t>
      </w:r>
    </w:p>
    <w:p w14:paraId="67534D05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3.绩效评价的范围</w:t>
      </w:r>
    </w:p>
    <w:p w14:paraId="5A9AF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乌财科教[2023]167号关于提前下达2024[中央直达]的通知（公用经费－初中）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（公用经费-特教）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进行评价，评价核心为专项资金的支出完成情况和效果。</w:t>
      </w:r>
    </w:p>
    <w:p w14:paraId="1DEB3C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（二）绩效评价原则、评价指标体系（详情见附件2）、评价方法、评价标准</w:t>
      </w:r>
    </w:p>
    <w:p w14:paraId="4828D3F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1.绩效评价原则</w:t>
      </w:r>
    </w:p>
    <w:p w14:paraId="642760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本次项目绩效评价遵循以下基本原则：</w:t>
      </w:r>
    </w:p>
    <w:p w14:paraId="7A4CC5E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DB326B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EBEEF6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222FAC8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（4）公开透明。绩效评价结果应依法依规公开，并自觉接受社会监督。</w:t>
      </w:r>
    </w:p>
    <w:p w14:paraId="795826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2.评价指标体系</w:t>
      </w:r>
    </w:p>
    <w:p w14:paraId="2D2B5E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2DB904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（1）确定评价指标</w:t>
      </w:r>
    </w:p>
    <w:p w14:paraId="1D741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89A1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（2）确定权重</w:t>
      </w:r>
    </w:p>
    <w:p w14:paraId="373849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0315D5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（3）确定指标标准值</w:t>
      </w:r>
    </w:p>
    <w:p w14:paraId="7BE1C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72D212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ascii="仿宋_GB2312" w:hAnsi="仿宋_GB2312" w:eastAsia="仿宋_GB2312" w:cs="仿宋_GB2312"/>
          <w:b w:val="0"/>
          <w:bCs w:val="0"/>
          <w:color w:val="000000"/>
          <w:spacing w:val="17"/>
          <w:kern w:val="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63493F2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  <w:color w:val="000000"/>
          <w:spacing w:val="17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17"/>
        </w:rPr>
        <w:t>具体评价指标体系详情见附件2。</w:t>
      </w:r>
    </w:p>
    <w:p w14:paraId="3127B57D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3.绩效评价方法</w:t>
      </w:r>
    </w:p>
    <w:p w14:paraId="26F74C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3CAD5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642524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（1）比较法</w:t>
      </w:r>
    </w:p>
    <w:p w14:paraId="783AC6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2D0DEB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（2）因素分析法</w:t>
      </w:r>
    </w:p>
    <w:p w14:paraId="49B876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ascii="仿宋_GB2312" w:hAnsi="仿宋_GB2312" w:eastAsia="仿宋_GB2312" w:cs="仿宋_GB2312"/>
          <w:color w:val="000000"/>
          <w:spacing w:val="17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6DEC23F5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4.评价标准</w:t>
      </w:r>
    </w:p>
    <w:p w14:paraId="0FD9A5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绩效评价标准通常计划标准、行业标准、标准等，用于对绩效指标完成情况进行比较、分析、评价。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本次评价主要采用了计划标准。</w:t>
      </w:r>
    </w:p>
    <w:p w14:paraId="4159A5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Toc17882"/>
      <w:bookmarkStart w:id="1" w:name="_Toc3146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计划标准：</w:t>
      </w:r>
      <w:r>
        <w:rPr>
          <w:rFonts w:hint="eastAsia" w:ascii="仿宋_GB2312" w:hAnsi="仿宋_GB2312" w:eastAsia="仿宋_GB2312" w:cs="仿宋_GB2312"/>
          <w:sz w:val="32"/>
          <w:szCs w:val="32"/>
        </w:rPr>
        <w:t>指以预、制定的目标、计划、预算、定额等作为评价标准。</w:t>
      </w:r>
      <w:bookmarkEnd w:id="0"/>
      <w:bookmarkEnd w:id="1"/>
    </w:p>
    <w:p w14:paraId="05945A14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11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pacing w:val="17"/>
        </w:rPr>
      </w:pPr>
      <w:r>
        <w:rPr>
          <w:rFonts w:hint="eastAsia" w:ascii="仿宋_GB2312" w:hAnsi="仿宋_GB2312" w:eastAsia="仿宋_GB2312" w:cs="仿宋_GB2312"/>
          <w:color w:val="000000"/>
          <w:spacing w:val="17"/>
        </w:rPr>
        <w:t>绩效评价工作过程</w:t>
      </w:r>
    </w:p>
    <w:p w14:paraId="789FD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首先成立评价工作组，开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展前期调研；</w:t>
      </w:r>
      <w:r>
        <w:rPr>
          <w:rFonts w:hint="eastAsia" w:ascii="仿宋_GB2312" w:hAnsi="仿宋_GB2312" w:eastAsia="仿宋_GB2312" w:cs="仿宋_GB2312"/>
          <w:sz w:val="32"/>
          <w:szCs w:val="32"/>
        </w:rPr>
        <w:t>组 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校长，</w:t>
      </w:r>
      <w:r>
        <w:rPr>
          <w:rFonts w:hint="eastAsia" w:ascii="仿宋_GB2312" w:hAnsi="仿宋_GB2312" w:eastAsia="仿宋_GB2312" w:cs="仿宋_GB2312"/>
          <w:sz w:val="32"/>
          <w:szCs w:val="32"/>
        </w:rPr>
        <w:t>职责：统筹财务绩效考核填报全面工作，制定填报策略，审核关键数据及报告，协调解决重大财务考核问题，对填报结果负领导责任。副组长：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总务处主任</w:t>
      </w:r>
      <w:r>
        <w:rPr>
          <w:rFonts w:hint="eastAsia" w:ascii="仿宋_GB2312" w:hAnsi="仿宋_GB2312" w:eastAsia="仿宋_GB2312" w:cs="仿宋_GB2312"/>
          <w:sz w:val="32"/>
          <w:szCs w:val="32"/>
        </w:rPr>
        <w:t>职责：协助组长落实具体工作，组织财务数据收集、整理与填报，指导各成员完成任务，审核财务报表及支撑材料，确保符合考核标准。成 员：预算管理岗负责人：负责学校预算编制、执行、调整等数据的填报，分析预算执行率、资金使用效益等指标。会计核算岗负责人：提供会计凭证、账簿、报表等核算数据，确保收支分类、科目使用等符合会计准则和考核要求。资产管理岗负责人：填报固定资产、无形资产等台账数据，体现资产购置、使用、处置及清查情况。内部控制专员：提供财务内控制度建设、风险防控、审计整改等方面资料，支撑内控管理考核指标。项目管理负责人：针对专项项目资金，如科研、基建、采购项目，提供资金拨付、使用进度及绩效成果数据。财务档案管理员：负责整理财务凭证、报表、合同等档案资料，确保考核所需材料调阅便捷、存档规范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其次明确项目绩效目标，设计绩效评价指标体系并确定绩效评价方法；接着确定现场和非现场评价范围，设计资料清单；最后制定评价实施方案并进行论证。</w:t>
      </w:r>
    </w:p>
    <w:p w14:paraId="4E4FBE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083E9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33C9CE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综合评价情况及评价结论（附相关评分表）</w:t>
      </w:r>
    </w:p>
    <w:p w14:paraId="25D1350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（一）评价情况</w:t>
      </w:r>
    </w:p>
    <w:p w14:paraId="1379CA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kern w:val="28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18072DE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（二）评价结论</w:t>
      </w:r>
    </w:p>
    <w:p w14:paraId="6BE4C5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总得分为 98.70分，属于“优”。其中，项目决策类指标权重为20分，得分为 20分，得分率为 100%。项目过程类指标权重为20分，得分为18.70分，得分率为93.50%。项目产出类指标权重为40分，得分为40分，得分率为100%。项目效益类指标权重为20分，得分为20分，得分率为100%。具</w:t>
      </w:r>
      <w:r>
        <w:rPr>
          <w:rFonts w:hint="eastAsia" w:ascii="仿宋_GB2312" w:hAnsi="仿宋_GB2312" w:eastAsia="仿宋_GB2312" w:cs="仿宋_GB2312"/>
          <w:b w:val="0"/>
          <w:bCs w:val="0"/>
        </w:rPr>
        <w:t>体打分情况详见：表1.综合评分表。</w:t>
      </w:r>
    </w:p>
    <w:p w14:paraId="20406511">
      <w:pPr>
        <w:pStyle w:val="2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59FE4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D7E2367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B3D8FE6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BD722BF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3F1F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22EFB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21CE8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8FE9F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</w:tr>
      <w:tr w14:paraId="52031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3DB3C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B494C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63403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18.70</w:t>
            </w:r>
          </w:p>
        </w:tc>
      </w:tr>
      <w:tr w14:paraId="26991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E6C63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B3675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BC0AC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</w:tr>
      <w:tr w14:paraId="51390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D2D92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29831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FEA49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</w:tr>
      <w:tr w14:paraId="4F9E5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D8EB9">
            <w:pPr>
              <w:jc w:val="center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78A58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71F09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98.70</w:t>
            </w:r>
          </w:p>
        </w:tc>
      </w:tr>
    </w:tbl>
    <w:p w14:paraId="53153932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143A6FFD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1D6C5887">
      <w:pPr>
        <w:spacing w:line="600" w:lineRule="exact"/>
        <w:ind w:firstLine="600" w:firstLineChars="200"/>
        <w:outlineLvl w:val="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项目决策类指标包括项目立项、绩效目标和资金投入三方面的内容，由6个三级指标构成，权重分值为20分，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实际得分20分，得分率为100%。</w:t>
      </w:r>
    </w:p>
    <w:p w14:paraId="473C5841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6DD7EDE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（1）立项依据充分性</w:t>
      </w:r>
    </w:p>
    <w:p w14:paraId="25370CC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但项目中央直接下达项目，我单位未有立项市级相关文件。</w:t>
      </w:r>
    </w:p>
    <w:p w14:paraId="7287F9D8"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立项程序规范性</w:t>
      </w:r>
    </w:p>
    <w:p w14:paraId="0BEDA591"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项目严格按照《乌鲁木齐市第十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中学财务管理制度》规 </w:t>
      </w:r>
    </w:p>
    <w:p w14:paraId="59812F14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定的程序申请设立，依据〔2016〕102 号关于印发新疆维吾尔 </w:t>
      </w:r>
    </w:p>
    <w:p w14:paraId="7C424790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自治区进一步完善城乡义务教育经费保障机制实施方案的知、〔2018〕48 号关于印发《自治区关于统筹推进县域内城乡义务教育一体化改革 20 发展的实施意见》的通知，项目由 </w:t>
      </w:r>
    </w:p>
    <w:p w14:paraId="19618DCC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财政依据相关政策文件直接下拨，无需申请立项。 </w:t>
      </w:r>
    </w:p>
    <w:p w14:paraId="30184836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01DC18F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403CA6F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82809C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6657A6CD">
      <w:pPr>
        <w:spacing w:line="600" w:lineRule="exact"/>
        <w:ind w:firstLine="640" w:firstLineChars="200"/>
        <w:outlineLvl w:val="0"/>
        <w:rPr>
          <w:color w:val="000000"/>
          <w:kern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5524658"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514FA66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1562105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5895BA4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60545BD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4CA79ABE">
      <w:pPr>
        <w:pStyle w:val="2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7B6429E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项目过程类指标包括资金管理和组织实施两方面的内容，由5个三级指标构成，权重分值为20分，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实际得分18.7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分，得分率为93.50%。</w:t>
      </w:r>
    </w:p>
    <w:p w14:paraId="17B51A4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517152C7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2EAE084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（1）资金到位率</w:t>
      </w:r>
    </w:p>
    <w:p w14:paraId="2149D76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总投资108.73万元，财政资金实际到位106万元，到位率97.50%，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预算资金按计划进度执行。</w:t>
      </w:r>
    </w:p>
    <w:p w14:paraId="0526C1D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（2）预算执行率</w:t>
      </w:r>
    </w:p>
    <w:p w14:paraId="06C64DE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预算编制较为详细，项目资金支出总体能够按照预算执行，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预算资金支出106万元，预算执行率为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97.50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F58D94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（3）资金使用合规性</w:t>
      </w:r>
    </w:p>
    <w:p w14:paraId="6C38A48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2F8F9E62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6BA6DFF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7F401AD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64F86D0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7BEC71D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FBECEA0">
      <w:pPr>
        <w:pStyle w:val="9"/>
        <w:numPr>
          <w:ilvl w:val="0"/>
          <w:numId w:val="4"/>
        </w:numPr>
        <w:spacing w:line="560" w:lineRule="exact"/>
        <w:ind w:firstLine="641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4473CBC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项目产出类指标包括产出数量、产出质量，两方面的内容，由6个三级指标构成，权重分为50分，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实际得分50分，得分率为100%。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具体产出指标完成情况如下：</w:t>
      </w:r>
    </w:p>
    <w:p w14:paraId="3E1ACF7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2679F955">
      <w:pPr>
        <w:spacing w:line="600" w:lineRule="exact"/>
        <w:ind w:firstLine="640" w:firstLineChars="200"/>
        <w:outlineLvl w:val="0"/>
        <w:rPr>
          <w:rFonts w:hint="eastAsia" w:ascii="宋体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指标1：维修校舍次数，指标值：＝7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，实际完成值：7次，指标完成率100%。教学楼屋顶2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初、高中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教学楼室内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过道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初、高中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室外场地2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次，高中教室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1次。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优化了教育教学环境，改善了办学条件，保障了师生上课的安全性。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因财力紧张，已完成项目无资金支付。</w:t>
      </w:r>
    </w:p>
    <w:p w14:paraId="4FC5CAED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指标2：培训教师数量，指标值：＝40人，实际完成值：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225</w:t>
      </w:r>
      <w:r>
        <w:rPr>
          <w:rFonts w:hint="eastAsia" w:ascii="仿宋_GB2312" w:hAnsi="仿宋_GB2312" w:eastAsia="仿宋_GB2312" w:cs="仿宋_GB2312"/>
          <w:sz w:val="32"/>
          <w:szCs w:val="32"/>
        </w:rPr>
        <w:t>%。教师的业务水平提升，使教育教学质量有了进一步的提高，使学生成绩有所提升。偏差原因：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为了教育教学高质量发展，上级部门下达教师培训工作增加，教师业务培训增加。本项目资金支付2022年、2023年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、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2024年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教师培训费。2024年实际培训人数为73人。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与目标值产生偏差。</w:t>
      </w:r>
    </w:p>
    <w:p w14:paraId="7E7936F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指标3：购置各类教育教学用品类别，指标值：＝11类，实际完成值：11类，指标完成率100%。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缴纳了水费、电费、学校1辆车保险费、平台财税技术服务费、三防对讲机信息服务费、2022年法律顾问费、学生军训药品、理化生实验器材、教师用教材、学科网服务费、学生考试成绩分析技术服务费。指标完成率100%。补充了教育教学用具，保障了正常的教学工作。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与目标值产生偏差。</w:t>
      </w:r>
    </w:p>
    <w:p w14:paraId="33C7281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2177976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指标1：学校校舍日常维修改造质量达标率，指标值：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&gt;=98%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</w:t>
      </w:r>
      <w:r>
        <w:rPr>
          <w:rFonts w:hint="eastAsia" w:ascii="宋体" w:hAnsi="宋体" w:cs="宋体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，指标完成率100 %。偏差原因：维修及改造工作由专人负责监督实施，总务专人负责验收。使维修项目达标率高于目标值。</w:t>
      </w:r>
    </w:p>
    <w:p w14:paraId="5B0F4C7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指标2：培训结业率，指标值：＝100%，实际完成值：100%，指标完成率100%。</w:t>
      </w:r>
    </w:p>
    <w:p w14:paraId="115ADCE3">
      <w:pPr>
        <w:spacing w:line="600" w:lineRule="exact"/>
        <w:ind w:firstLine="4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b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指标3：购置用品质量合格率，指标值：&gt;=95%，实际完成值：100%，指标完成率100 %。偏差原因：采购物品由专人负责实施，总务及相关处室专人负责验收，使物品采购合格率高于目标值。</w:t>
      </w:r>
    </w:p>
    <w:p w14:paraId="197B5F5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时效指标：</w:t>
      </w:r>
    </w:p>
    <w:p w14:paraId="5B1426A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我单位未设置相关指标</w:t>
      </w:r>
    </w:p>
    <w:p w14:paraId="38AA9E4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成本指标：</w:t>
      </w:r>
    </w:p>
    <w:p w14:paraId="35EE2935">
      <w:pPr>
        <w:spacing w:line="540" w:lineRule="exact"/>
        <w:ind w:firstLine="624" w:firstLineChars="200"/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指标1：校舍维修成本，指标值：小于等于10000元/次，实际完成5000元/次，指标完成率50%。偏差原因：本年校舍维修与目标值一致，实际维修总费用较低，产生偏差。改进措施：在今后的项目目标设置过程中，根据校舍维修成本实际情况，使得绩效目标设置和实际维修成本偏差减小，从而有效降低偏差值。</w:t>
      </w:r>
      <w:r>
        <w:cr/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 xml:space="preserve">   指标2：教师培训成本，指标值：小于等于14017.50元/人/次，实际完成值6230元/人/次，指标完成率44.44%。偏差原因：为了教育教学高质量发展，上级部门下达教师培训工作增加，教师业务培训增加。本项目资金支付2022年、2023年教师培训费。2024年实际培训人数为73人。改进措施：在今后的项目目标设置过程中，根据教师培训成本实际情况，使得绩效目标设置和实际教师培训成本偏差减小，从而有效降低偏差值。</w:t>
      </w:r>
    </w:p>
    <w:p w14:paraId="48D6EA85">
      <w:pPr>
        <w:pStyle w:val="9"/>
        <w:numPr>
          <w:ilvl w:val="0"/>
          <w:numId w:val="0"/>
        </w:numPr>
        <w:spacing w:line="560" w:lineRule="exact"/>
        <w:ind w:firstLine="624" w:firstLineChars="200"/>
        <w:rPr>
          <w:rFonts w:eastAsia="楷体_GB2312"/>
          <w:b/>
          <w:bCs/>
          <w:sz w:val="32"/>
          <w:szCs w:val="32"/>
        </w:rPr>
      </w:pP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指标3：购买各类教育教学用品成本，指标值：小于等于50000元/类，实际完成值42000万元/类，指标完成率84%。偏差原因：本年购买教育教学用品种类增加，导致单类成本降低，产生偏差。改进措施：在今后的项目目标设置过程中，根据教育教学用品成本实际情况，使得绩效目标设置和实际教育教学用品成本偏差减小，从而有效降低偏差值。</w:t>
      </w:r>
    </w:p>
    <w:p w14:paraId="19842EEF">
      <w:pPr>
        <w:pStyle w:val="9"/>
        <w:numPr>
          <w:ilvl w:val="0"/>
          <w:numId w:val="4"/>
        </w:numPr>
        <w:spacing w:line="560" w:lineRule="exact"/>
        <w:ind w:firstLine="641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5594B04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项目效益类指标包括项目实施效益和满意度两方面的内容，由1个三级指标构成，权重分为30分，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实际得分30分，得分率为100%。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具体效益指标及满意度指标完成情况如下：</w:t>
      </w:r>
    </w:p>
    <w:p w14:paraId="28A33EF1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7551AF9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①经济效益指标：</w:t>
      </w:r>
    </w:p>
    <w:p w14:paraId="1D97D52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我单位未设置相关指标</w:t>
      </w:r>
    </w:p>
    <w:p w14:paraId="1091AE1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②社会效益指标：提高学校教学水平、改善办学条件，指标值：有效提高，实际完成值：完全达到预期效果，指标完成率100 %。</w:t>
      </w:r>
    </w:p>
    <w:p w14:paraId="5771401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③生态效益指标：</w:t>
      </w:r>
    </w:p>
    <w:p w14:paraId="1F27570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我单位未设置相关指标</w:t>
      </w:r>
    </w:p>
    <w:p w14:paraId="3FCC5EA8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38F00F62">
      <w:pPr>
        <w:widowControl/>
        <w:jc w:val="left"/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满意度指标：参加培训教师满意度，指标值：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，实际完成值：100%，偏差原因：</w:t>
      </w:r>
      <w:r>
        <w:rPr>
          <w:rStyle w:val="14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通过培训，教师业务水平提高了，教育教学质量随之提高,培训教师满意度100%。本次调查问卷共发放500份，回收500份。其中一题：您对还在所在学校的整体印象是：非常满意，作为满意度指标的完成值。</w:t>
      </w:r>
    </w:p>
    <w:p w14:paraId="4FCC9DF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7D306E6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4DC38389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1D80A49D">
      <w:pPr>
        <w:keepNext w:val="0"/>
        <w:keepLines w:val="0"/>
        <w:widowControl/>
        <w:suppressLineNumbers w:val="0"/>
        <w:ind w:firstLine="640" w:firstLineChars="200"/>
        <w:jc w:val="left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该项目用以保障义务教育阶段学校正常运转、教育教学活 </w:t>
      </w:r>
    </w:p>
    <w:p w14:paraId="071DBD53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动和其他日常工作正常开展的相关支出，主要包含有相关教学 </w:t>
      </w:r>
    </w:p>
    <w:p w14:paraId="1E25FA6B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设备设施的购置，零星日常维修等。采取项目工作领导小组负 </w:t>
      </w:r>
    </w:p>
    <w:p w14:paraId="562DD224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责制，全体成员积极配合、通力合作。项目工作领导小组负责 </w:t>
      </w:r>
    </w:p>
    <w:p w14:paraId="34236850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协调相关工作，项目实施及资金管理。建立联动机制，各部门 </w:t>
      </w:r>
    </w:p>
    <w:p w14:paraId="0FA7A086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密切配合，分工责任，各司其职，密切跟进项目落实情况，确 </w:t>
      </w:r>
    </w:p>
    <w:p w14:paraId="2D6F29CD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保了项目有组织、有计划、有步骤地推进。进一步提升了校园 </w:t>
      </w:r>
    </w:p>
    <w:p w14:paraId="099A6C74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硬件设施力度，补齐了学校环境硬件短板，大大提高了学生学 </w:t>
      </w:r>
    </w:p>
    <w:p w14:paraId="3D0FDD53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习的积极性，提高了老师的教学水平，优化了课堂互动环境， </w:t>
      </w:r>
    </w:p>
    <w:p w14:paraId="6A8884E6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形成了师生有效互动，为学生打造了良好教学环境，提升了师 </w:t>
      </w:r>
    </w:p>
    <w:p w14:paraId="3341AC62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/>
          <w:b w:val="0"/>
          <w:bCs w:val="0"/>
          <w:kern w:val="2"/>
          <w:lang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生的幸福感。</w:t>
      </w:r>
    </w:p>
    <w:p w14:paraId="0644E378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55B5E8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1.在今后的工作中，预算要更加切合单位实际需要，追加 </w:t>
      </w:r>
    </w:p>
    <w:p w14:paraId="7B0879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预算要细化，加大对项目绩效支出的绩效考核。项目执行方面，加大对各业务口相关负责人的政策制度培训，在财力允许的情 况下，按要求准备好相关材料，保障项目顺利执行，不拖后腿，影响进度。 </w:t>
      </w:r>
    </w:p>
    <w:p w14:paraId="3A8C59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2.相关绩效管理方面专业知识的系统性学习有待加强。各 </w:t>
      </w:r>
    </w:p>
    <w:p w14:paraId="084891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项指标的设置要进一步优化、完善，主要在细化、量化上改进。在绩效自评过程中，由于部分人员缺乏相关绩效管理专业知识，自评价工作还存在自我审定的局限性，影响评价质量。 </w:t>
      </w:r>
    </w:p>
    <w:p w14:paraId="6419F1A5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</w:t>
      </w:r>
      <w:r>
        <w:rPr>
          <w:rFonts w:eastAsia="黑体"/>
          <w:sz w:val="32"/>
          <w:szCs w:val="32"/>
        </w:rPr>
        <w:t>有关建议</w:t>
      </w:r>
    </w:p>
    <w:p w14:paraId="710F1F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（一）严格按照项目资金管理办法对资金进行计划申请、 </w:t>
      </w:r>
    </w:p>
    <w:p w14:paraId="423C5C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划拨、使用，及时、规范对收支进行账务处理和会计核算。 专项资金专项使用，严格执行项目资金批准的使用计划和项目批复内容，不准擅自调项、扩项、缩项、挪用、挤占和随意扣压，资金拨付动向按不同专项资金的要求执行，不准任意改变。专项资金报账拨付要附真实、有效、合法的凭证。加强审计监督，对专项资金要定期或不定期进行督查，确保项目资金转款专用。严格按照相关规定执行，确保项目顺利展开。</w:t>
      </w:r>
    </w:p>
    <w:p w14:paraId="0FEFB6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（二）加强预算严格的监督控制制度，逐步完善了单位预 </w:t>
      </w:r>
    </w:p>
    <w:p w14:paraId="5C2A85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算管理保障制度，确保财务编制及财务预算的执行可以得到有效保障。</w:t>
      </w:r>
    </w:p>
    <w:p w14:paraId="05FC0A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（三）建立了联动机制，各部门密切配合，分工责任， 各 </w:t>
      </w:r>
    </w:p>
    <w:p w14:paraId="293579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司其职，树立正确的预算执行意识，加强了单位领导者与管理者的预算执行意识，以身作则的带动了下属工作人员及组织、部门严肃对待预算执行这一问题，同时加强了预算执行过程中的方法学习和技巧掌握，学习了如何实现经费的合理化分配。</w:t>
      </w:r>
    </w:p>
    <w:p w14:paraId="0339CCB6"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1BA75DBB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1.项目支出政策和路径设计科学，符合行业发展规划和政 </w:t>
      </w:r>
    </w:p>
    <w:p w14:paraId="503A39FD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策要求，符合实际需要； </w:t>
      </w:r>
    </w:p>
    <w:p w14:paraId="0F4BD35D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2.项目安排准确，未发现背离项目立项初衷的情况 </w:t>
      </w:r>
    </w:p>
    <w:p w14:paraId="04874653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3.项目的申报、审核机制完善，同时项目严格按照规定的 </w:t>
      </w:r>
    </w:p>
    <w:p w14:paraId="19FAF917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程序申请设立</w:t>
      </w:r>
    </w:p>
    <w:p w14:paraId="6A73DAA1"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47F9C9-5366-489B-B7FD-2A8C4575BD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C7DEF1A-5E9A-4FB8-90D6-EC2D1F91114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F7A68574-E2F9-4070-8C55-69064A70998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0E694CE4-A618-4793-9680-E7D7A51913A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977A468-05DB-40DB-881B-AFF2E52B61E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D0B5C4B-F311-494B-8DED-E93D670407C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14CF742E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3AD0B118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diMGIwZmFmNTFkMzZhMzIyMjI2ZjMzY2ViMDZhZWEifQ=="/>
  </w:docVars>
  <w:rsids>
    <w:rsidRoot w:val="00000000"/>
    <w:rsid w:val="2A7A3E6F"/>
    <w:rsid w:val="56632F3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Char"/>
    <w:basedOn w:val="13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Char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Char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Char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eyJoZGlkIjoiNzI1MzljODBiNDliMzEyMzFlZWNlN2EzYjU0N2YzMWEiLCJ1c2VySWQiOiI2NzI2Mjg4ODYifQ==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48cbc-e255-453f-9249-04e196493c2a}">
  <ds:schemaRefs/>
</ds:datastoreItem>
</file>

<file path=customXml/itemProps2.xml><?xml version="1.0" encoding="utf-8"?>
<ds:datastoreItem xmlns:ds="http://schemas.openxmlformats.org/officeDocument/2006/customXml" ds:itemID="{CCFE4656-58F2-479E-8DEB-C6C1C978C6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19</Pages>
  <Words>8420</Words>
  <Characters>8866</Characters>
  <Lines>9</Lines>
  <Paragraphs>22</Paragraphs>
  <TotalTime>7</TotalTime>
  <ScaleCrop>false</ScaleCrop>
  <LinksUpToDate>false</LinksUpToDate>
  <CharactersWithSpaces>8919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2025-04-25T06:19:00Z</cp:lastPrinted>
  <dcterms:modified xsi:type="dcterms:W3CDTF">2025-11-06T02:53:44Z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eyJoZGlkIjoiMGIxZTI3ODM4ZmVjOGE5NDFiYmE3OTRiMjQ5OTEyNzIiLCJ1c2VySWQiOiIyNTk4NTcxMjUifQ==</vt:lpwstr>
  </property>
</Properties>
</file>